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FB6" w:rsidRPr="00BE0690" w:rsidRDefault="00AB5FB6" w:rsidP="00BE0690">
      <w:pPr>
        <w:spacing w:after="200" w:line="480" w:lineRule="auto"/>
        <w:jc w:val="center"/>
        <w:rPr>
          <w:rFonts w:ascii="Times New Roman" w:eastAsia="Calibri" w:hAnsi="Times New Roman" w:cs="Times New Roman"/>
          <w:sz w:val="24"/>
          <w:szCs w:val="24"/>
        </w:rPr>
      </w:pPr>
      <w:bookmarkStart w:id="0" w:name="_GoBack"/>
      <w:bookmarkEnd w:id="0"/>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tabs>
          <w:tab w:val="left" w:pos="7695"/>
        </w:tabs>
        <w:spacing w:after="200" w:line="480" w:lineRule="auto"/>
        <w:rPr>
          <w:rFonts w:ascii="Times New Roman" w:eastAsia="Calibri" w:hAnsi="Times New Roman" w:cs="Times New Roman"/>
          <w:sz w:val="24"/>
          <w:szCs w:val="24"/>
        </w:rPr>
      </w:pPr>
      <w:r w:rsidRPr="00BE0690">
        <w:rPr>
          <w:rFonts w:ascii="Times New Roman" w:eastAsia="Calibri" w:hAnsi="Times New Roman" w:cs="Times New Roman"/>
          <w:sz w:val="24"/>
          <w:szCs w:val="24"/>
        </w:rPr>
        <w:tab/>
      </w:r>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spacing w:before="240" w:after="200" w:line="480" w:lineRule="auto"/>
        <w:jc w:val="center"/>
        <w:rPr>
          <w:rFonts w:ascii="Times New Roman" w:eastAsia="Calibri" w:hAnsi="Times New Roman" w:cs="Times New Roman"/>
          <w:sz w:val="24"/>
          <w:szCs w:val="24"/>
        </w:rPr>
      </w:pPr>
      <w:r w:rsidRPr="00BE0690">
        <w:rPr>
          <w:rFonts w:ascii="Times New Roman" w:eastAsia="Calibri" w:hAnsi="Times New Roman" w:cs="Times New Roman"/>
          <w:sz w:val="24"/>
          <w:szCs w:val="24"/>
        </w:rPr>
        <w:t>Work Experience</w:t>
      </w:r>
    </w:p>
    <w:p w:rsidR="00AB5FB6" w:rsidRPr="00BE0690" w:rsidRDefault="00AB5FB6" w:rsidP="00BE0690">
      <w:pPr>
        <w:spacing w:before="240" w:after="200" w:line="480" w:lineRule="auto"/>
        <w:jc w:val="center"/>
        <w:rPr>
          <w:rFonts w:ascii="Times New Roman" w:eastAsia="Calibri" w:hAnsi="Times New Roman" w:cs="Times New Roman"/>
          <w:sz w:val="24"/>
          <w:szCs w:val="24"/>
        </w:rPr>
      </w:pPr>
      <w:r w:rsidRPr="00BE0690">
        <w:rPr>
          <w:rFonts w:ascii="Times New Roman" w:eastAsia="Calibri" w:hAnsi="Times New Roman" w:cs="Times New Roman"/>
          <w:sz w:val="24"/>
          <w:szCs w:val="24"/>
        </w:rPr>
        <w:t>Student’s Name</w:t>
      </w:r>
    </w:p>
    <w:p w:rsidR="00AB5FB6" w:rsidRPr="00BE0690" w:rsidRDefault="00AB5FB6" w:rsidP="00BE0690">
      <w:pPr>
        <w:spacing w:before="240" w:after="200" w:line="480" w:lineRule="auto"/>
        <w:jc w:val="center"/>
        <w:rPr>
          <w:rFonts w:ascii="Times New Roman" w:eastAsia="Calibri" w:hAnsi="Times New Roman" w:cs="Times New Roman"/>
          <w:sz w:val="24"/>
          <w:szCs w:val="24"/>
        </w:rPr>
      </w:pPr>
      <w:r w:rsidRPr="00BE0690">
        <w:rPr>
          <w:rFonts w:ascii="Times New Roman" w:eastAsia="Calibri" w:hAnsi="Times New Roman" w:cs="Times New Roman"/>
          <w:sz w:val="24"/>
          <w:szCs w:val="24"/>
        </w:rPr>
        <w:t xml:space="preserve">Institutional Affiliation </w:t>
      </w:r>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spacing w:after="200" w:line="480" w:lineRule="auto"/>
        <w:jc w:val="center"/>
        <w:rPr>
          <w:rFonts w:ascii="Times New Roman" w:eastAsia="Calibri" w:hAnsi="Times New Roman" w:cs="Times New Roman"/>
          <w:sz w:val="24"/>
          <w:szCs w:val="24"/>
        </w:rPr>
      </w:pPr>
    </w:p>
    <w:p w:rsidR="00AB5FB6" w:rsidRPr="00BE0690" w:rsidRDefault="00AB5FB6" w:rsidP="00BE0690">
      <w:pPr>
        <w:spacing w:line="480" w:lineRule="auto"/>
        <w:rPr>
          <w:rFonts w:ascii="Times New Roman" w:hAnsi="Times New Roman" w:cs="Times New Roman"/>
          <w:b/>
          <w:sz w:val="24"/>
          <w:szCs w:val="24"/>
        </w:rPr>
      </w:pPr>
      <w:r w:rsidRPr="00BE0690">
        <w:rPr>
          <w:rFonts w:ascii="Times New Roman" w:hAnsi="Times New Roman" w:cs="Times New Roman"/>
          <w:b/>
          <w:sz w:val="24"/>
          <w:szCs w:val="24"/>
        </w:rPr>
        <w:br w:type="page"/>
      </w:r>
    </w:p>
    <w:p w:rsidR="00AB5FB6" w:rsidRPr="00BE0690" w:rsidRDefault="00AB5FB6" w:rsidP="00BE0690">
      <w:pPr>
        <w:spacing w:line="480" w:lineRule="auto"/>
        <w:jc w:val="center"/>
        <w:rPr>
          <w:rFonts w:ascii="Times New Roman" w:hAnsi="Times New Roman" w:cs="Times New Roman"/>
          <w:sz w:val="24"/>
          <w:szCs w:val="24"/>
        </w:rPr>
      </w:pPr>
      <w:r w:rsidRPr="00BE0690">
        <w:rPr>
          <w:rFonts w:ascii="Times New Roman" w:hAnsi="Times New Roman" w:cs="Times New Roman"/>
          <w:sz w:val="24"/>
          <w:szCs w:val="24"/>
        </w:rPr>
        <w:lastRenderedPageBreak/>
        <w:t>Work Experience</w:t>
      </w:r>
    </w:p>
    <w:p w:rsidR="005A0C65" w:rsidRPr="00BE0690" w:rsidRDefault="005A0C65" w:rsidP="00BE0690">
      <w:pPr>
        <w:spacing w:line="480" w:lineRule="auto"/>
        <w:jc w:val="center"/>
        <w:rPr>
          <w:rFonts w:ascii="Times New Roman" w:hAnsi="Times New Roman" w:cs="Times New Roman"/>
          <w:b/>
          <w:sz w:val="24"/>
          <w:szCs w:val="24"/>
        </w:rPr>
      </w:pPr>
      <w:r w:rsidRPr="00BE0690">
        <w:rPr>
          <w:rFonts w:ascii="Times New Roman" w:hAnsi="Times New Roman" w:cs="Times New Roman"/>
          <w:b/>
          <w:sz w:val="24"/>
          <w:szCs w:val="24"/>
        </w:rPr>
        <w:t>If an Adult Works at Least 2 Years Full Time Post Undergrad before Pursuing Graduate School then they are more likely to Gain more Valuable Knowledge in Graduate School</w:t>
      </w:r>
    </w:p>
    <w:p w:rsidR="005A0C65" w:rsidRPr="00BE0690" w:rsidRDefault="005A0C65" w:rsidP="00BE0690">
      <w:pPr>
        <w:spacing w:line="480" w:lineRule="auto"/>
        <w:jc w:val="center"/>
        <w:rPr>
          <w:rFonts w:ascii="Times New Roman" w:hAnsi="Times New Roman" w:cs="Times New Roman"/>
          <w:b/>
          <w:sz w:val="24"/>
          <w:szCs w:val="24"/>
        </w:rPr>
      </w:pPr>
      <w:r w:rsidRPr="00BE0690">
        <w:rPr>
          <w:rFonts w:ascii="Times New Roman" w:hAnsi="Times New Roman" w:cs="Times New Roman"/>
          <w:b/>
          <w:sz w:val="24"/>
          <w:szCs w:val="24"/>
        </w:rPr>
        <w:t>Question 1: Thesis</w:t>
      </w:r>
    </w:p>
    <w:p w:rsidR="005A0C65" w:rsidRPr="00BE0690" w:rsidRDefault="005A0C65" w:rsidP="00BE0690">
      <w:pPr>
        <w:spacing w:line="480" w:lineRule="auto"/>
        <w:ind w:firstLine="720"/>
        <w:rPr>
          <w:rFonts w:ascii="Times New Roman" w:hAnsi="Times New Roman" w:cs="Times New Roman"/>
          <w:sz w:val="24"/>
          <w:szCs w:val="24"/>
        </w:rPr>
      </w:pPr>
      <w:r w:rsidRPr="00BE0690">
        <w:rPr>
          <w:rFonts w:ascii="Times New Roman" w:hAnsi="Times New Roman" w:cs="Times New Roman"/>
          <w:sz w:val="24"/>
          <w:szCs w:val="24"/>
        </w:rPr>
        <w:t>Graduate interns who have prior full-time work and life experience before pursuing their master’s degrees of at least two years become more valuable, impactful in their future as well as productive.</w:t>
      </w:r>
    </w:p>
    <w:p w:rsidR="005A0C65" w:rsidRPr="00BE0690" w:rsidRDefault="005A0C65" w:rsidP="00BE0690">
      <w:pPr>
        <w:spacing w:line="480" w:lineRule="auto"/>
        <w:jc w:val="center"/>
        <w:rPr>
          <w:rFonts w:ascii="Times New Roman" w:hAnsi="Times New Roman" w:cs="Times New Roman"/>
          <w:b/>
          <w:sz w:val="24"/>
          <w:szCs w:val="24"/>
        </w:rPr>
      </w:pPr>
      <w:r w:rsidRPr="00BE0690">
        <w:rPr>
          <w:rFonts w:ascii="Times New Roman" w:hAnsi="Times New Roman" w:cs="Times New Roman"/>
          <w:b/>
          <w:sz w:val="24"/>
          <w:szCs w:val="24"/>
        </w:rPr>
        <w:t>Question 2:</w:t>
      </w:r>
      <w:r w:rsidR="003A7CB3" w:rsidRPr="00BE0690">
        <w:rPr>
          <w:rFonts w:ascii="Times New Roman" w:hAnsi="Times New Roman" w:cs="Times New Roman"/>
          <w:b/>
          <w:sz w:val="24"/>
          <w:szCs w:val="24"/>
        </w:rPr>
        <w:t xml:space="preserve"> Best Practices to address Lack of Prior Experience</w:t>
      </w:r>
    </w:p>
    <w:p w:rsidR="003A7CB3" w:rsidRPr="00BE0690" w:rsidRDefault="00F32B12" w:rsidP="00BE0690">
      <w:pPr>
        <w:spacing w:line="480" w:lineRule="auto"/>
        <w:ind w:firstLine="720"/>
        <w:rPr>
          <w:rFonts w:ascii="Times New Roman" w:hAnsi="Times New Roman" w:cs="Times New Roman"/>
          <w:sz w:val="24"/>
          <w:szCs w:val="24"/>
        </w:rPr>
      </w:pPr>
      <w:r w:rsidRPr="00BE0690">
        <w:rPr>
          <w:rFonts w:ascii="Times New Roman" w:hAnsi="Times New Roman" w:cs="Times New Roman"/>
          <w:sz w:val="24"/>
          <w:szCs w:val="24"/>
        </w:rPr>
        <w:t xml:space="preserve">Many people who have had the chance to pursue graduate school know the importance of having work experience before joining it. Paid work experience has even an added advantage compared to the rest of the students who might not take advantage of the opportunity. Numerous people can admit that graduate interns who have prior full-time work and life experience before pursuing their master’s degrees of at least two years become more valuable, impactful in their future as well as productive. </w:t>
      </w:r>
    </w:p>
    <w:p w:rsidR="005A0C65" w:rsidRPr="00BE0690" w:rsidRDefault="005A0C65" w:rsidP="00BE0690">
      <w:pPr>
        <w:spacing w:line="480" w:lineRule="auto"/>
        <w:jc w:val="center"/>
        <w:rPr>
          <w:rFonts w:ascii="Times New Roman" w:hAnsi="Times New Roman" w:cs="Times New Roman"/>
          <w:b/>
          <w:sz w:val="24"/>
          <w:szCs w:val="24"/>
        </w:rPr>
      </w:pPr>
      <w:r w:rsidRPr="00BE0690">
        <w:rPr>
          <w:rFonts w:ascii="Times New Roman" w:hAnsi="Times New Roman" w:cs="Times New Roman"/>
          <w:b/>
          <w:sz w:val="24"/>
          <w:szCs w:val="24"/>
        </w:rPr>
        <w:t>Question 3:</w:t>
      </w:r>
      <w:r w:rsidR="003A7CB3" w:rsidRPr="00BE0690">
        <w:rPr>
          <w:rFonts w:ascii="Times New Roman" w:hAnsi="Times New Roman" w:cs="Times New Roman"/>
          <w:b/>
          <w:sz w:val="24"/>
          <w:szCs w:val="24"/>
        </w:rPr>
        <w:t xml:space="preserve"> Necessary Trend to be used</w:t>
      </w:r>
    </w:p>
    <w:p w:rsidR="003A7CB3" w:rsidRPr="00BE0690" w:rsidRDefault="003A7CB3" w:rsidP="00BE0690">
      <w:pPr>
        <w:spacing w:line="480" w:lineRule="auto"/>
        <w:ind w:firstLine="720"/>
        <w:rPr>
          <w:rFonts w:ascii="Times New Roman" w:hAnsi="Times New Roman" w:cs="Times New Roman"/>
          <w:sz w:val="24"/>
          <w:szCs w:val="24"/>
        </w:rPr>
      </w:pPr>
      <w:r w:rsidRPr="00BE0690">
        <w:rPr>
          <w:rFonts w:ascii="Times New Roman" w:hAnsi="Times New Roman" w:cs="Times New Roman"/>
          <w:sz w:val="24"/>
          <w:szCs w:val="24"/>
        </w:rPr>
        <w:t>Relevant work experience is critical in determining the emphasis put when the hiring panel makes their decisions</w:t>
      </w:r>
      <w:r w:rsidR="000B7D95" w:rsidRPr="00BE0690">
        <w:rPr>
          <w:rFonts w:ascii="Times New Roman" w:hAnsi="Times New Roman" w:cs="Times New Roman"/>
          <w:sz w:val="24"/>
          <w:szCs w:val="24"/>
        </w:rPr>
        <w:t xml:space="preserve"> (Chiang &amp; </w:t>
      </w:r>
      <w:proofErr w:type="spellStart"/>
      <w:r w:rsidR="000B7D95" w:rsidRPr="00BE0690">
        <w:rPr>
          <w:rFonts w:ascii="Times New Roman" w:hAnsi="Times New Roman" w:cs="Times New Roman"/>
          <w:sz w:val="24"/>
          <w:szCs w:val="24"/>
        </w:rPr>
        <w:t>Suen</w:t>
      </w:r>
      <w:proofErr w:type="spellEnd"/>
      <w:r w:rsidR="000B7D95" w:rsidRPr="00BE0690">
        <w:rPr>
          <w:rFonts w:ascii="Times New Roman" w:hAnsi="Times New Roman" w:cs="Times New Roman"/>
          <w:sz w:val="24"/>
          <w:szCs w:val="24"/>
        </w:rPr>
        <w:t>, 2015)</w:t>
      </w:r>
      <w:r w:rsidRPr="00BE0690">
        <w:rPr>
          <w:rFonts w:ascii="Times New Roman" w:hAnsi="Times New Roman" w:cs="Times New Roman"/>
          <w:sz w:val="24"/>
          <w:szCs w:val="24"/>
        </w:rPr>
        <w:t>. When people apply for jobs, potential employers are always looking for demonstrated skills besides n</w:t>
      </w:r>
      <w:r w:rsidR="000B7D95" w:rsidRPr="00BE0690">
        <w:rPr>
          <w:rFonts w:ascii="Times New Roman" w:hAnsi="Times New Roman" w:cs="Times New Roman"/>
          <w:sz w:val="24"/>
          <w:szCs w:val="24"/>
        </w:rPr>
        <w:t xml:space="preserve">ormal academic qualifications. According to Ali, (2018), </w:t>
      </w:r>
      <w:r w:rsidRPr="00BE0690">
        <w:rPr>
          <w:rFonts w:ascii="Times New Roman" w:hAnsi="Times New Roman" w:cs="Times New Roman"/>
          <w:sz w:val="24"/>
          <w:szCs w:val="24"/>
        </w:rPr>
        <w:t xml:space="preserve">candidates who have a history of previous work experience have a better chance of qualifying for the jobs compared to those who may not be having it. A minimum of two years’ experience for post-undergrad is recommended and preferably about three to five </w:t>
      </w:r>
      <w:r w:rsidRPr="00BE0690">
        <w:rPr>
          <w:rFonts w:ascii="Times New Roman" w:hAnsi="Times New Roman" w:cs="Times New Roman"/>
          <w:sz w:val="24"/>
          <w:szCs w:val="24"/>
        </w:rPr>
        <w:lastRenderedPageBreak/>
        <w:t>years of paid experience in a relevant field. Many professions consider this full-time work experience before pursuing graduate school vital for improving student knowledge about real life skills and as a practical environment to what is taught in class.</w:t>
      </w:r>
    </w:p>
    <w:p w:rsidR="005A0C65" w:rsidRPr="00BE0690" w:rsidRDefault="005A0C65" w:rsidP="00BE0690">
      <w:pPr>
        <w:spacing w:line="480" w:lineRule="auto"/>
        <w:jc w:val="center"/>
        <w:rPr>
          <w:rFonts w:ascii="Times New Roman" w:hAnsi="Times New Roman" w:cs="Times New Roman"/>
          <w:b/>
          <w:sz w:val="24"/>
          <w:szCs w:val="24"/>
        </w:rPr>
      </w:pPr>
      <w:r w:rsidRPr="00BE0690">
        <w:rPr>
          <w:rFonts w:ascii="Times New Roman" w:hAnsi="Times New Roman" w:cs="Times New Roman"/>
          <w:b/>
          <w:sz w:val="24"/>
          <w:szCs w:val="24"/>
        </w:rPr>
        <w:t>Question 4:</w:t>
      </w:r>
      <w:r w:rsidR="003A7CB3" w:rsidRPr="00BE0690">
        <w:rPr>
          <w:rFonts w:ascii="Times New Roman" w:hAnsi="Times New Roman" w:cs="Times New Roman"/>
          <w:b/>
          <w:sz w:val="24"/>
          <w:szCs w:val="24"/>
        </w:rPr>
        <w:t xml:space="preserve"> Literature Review</w:t>
      </w:r>
    </w:p>
    <w:p w:rsidR="003A7CB3" w:rsidRPr="00BE0690" w:rsidRDefault="003A7CB3" w:rsidP="00BE0690">
      <w:pPr>
        <w:spacing w:line="480" w:lineRule="auto"/>
        <w:ind w:firstLine="720"/>
        <w:rPr>
          <w:rFonts w:ascii="Times New Roman" w:hAnsi="Times New Roman" w:cs="Times New Roman"/>
          <w:sz w:val="24"/>
          <w:szCs w:val="24"/>
        </w:rPr>
      </w:pPr>
      <w:r w:rsidRPr="00BE0690">
        <w:rPr>
          <w:rFonts w:ascii="Times New Roman" w:hAnsi="Times New Roman" w:cs="Times New Roman"/>
          <w:sz w:val="24"/>
          <w:szCs w:val="24"/>
        </w:rPr>
        <w:t xml:space="preserve">Once the students get exposure in the field, they get more clear and specific about what is needed in graduate school. The knowledge gained in the full-time work experience helps the students in choosing the appropriate degree programs and the schools that best fit them. Many students who join the graduate school immediately after they are done with their undergrad end up making wrong choices in courses which is why there are many cases of them regretting their decisions later. </w:t>
      </w:r>
      <w:r w:rsidR="001436D9" w:rsidRPr="00BE0690">
        <w:rPr>
          <w:rFonts w:ascii="Times New Roman" w:hAnsi="Times New Roman" w:cs="Times New Roman"/>
          <w:sz w:val="24"/>
          <w:szCs w:val="24"/>
        </w:rPr>
        <w:t xml:space="preserve">According to </w:t>
      </w:r>
      <w:proofErr w:type="spellStart"/>
      <w:r w:rsidR="001436D9" w:rsidRPr="00BE0690">
        <w:rPr>
          <w:rFonts w:ascii="Times New Roman" w:hAnsi="Times New Roman" w:cs="Times New Roman"/>
          <w:sz w:val="24"/>
          <w:szCs w:val="24"/>
        </w:rPr>
        <w:t>Noe</w:t>
      </w:r>
      <w:proofErr w:type="spellEnd"/>
      <w:r w:rsidR="001436D9" w:rsidRPr="00BE0690">
        <w:rPr>
          <w:rFonts w:ascii="Times New Roman" w:hAnsi="Times New Roman" w:cs="Times New Roman"/>
          <w:sz w:val="24"/>
          <w:szCs w:val="24"/>
        </w:rPr>
        <w:t xml:space="preserve"> et al., (2017), t</w:t>
      </w:r>
      <w:r w:rsidRPr="00BE0690">
        <w:rPr>
          <w:rFonts w:ascii="Times New Roman" w:hAnsi="Times New Roman" w:cs="Times New Roman"/>
          <w:sz w:val="24"/>
          <w:szCs w:val="24"/>
        </w:rPr>
        <w:t>here are many cases of students not even being productive in graduate classes when they miss this critical step. Having more significant experience than other competitors while applying for most robust programs in graduate school makes the applicant competitive. Bachelor’s work experience is vital also in helping the applicant choose between professions that are closely related</w:t>
      </w:r>
      <w:r w:rsidR="001436D9" w:rsidRPr="00BE0690">
        <w:rPr>
          <w:rFonts w:ascii="Times New Roman" w:hAnsi="Times New Roman" w:cs="Times New Roman"/>
          <w:sz w:val="24"/>
          <w:szCs w:val="24"/>
        </w:rPr>
        <w:t xml:space="preserve"> (</w:t>
      </w:r>
      <w:proofErr w:type="spellStart"/>
      <w:r w:rsidR="001436D9" w:rsidRPr="00BE0690">
        <w:rPr>
          <w:rFonts w:ascii="Times New Roman" w:hAnsi="Times New Roman" w:cs="Times New Roman"/>
          <w:sz w:val="24"/>
          <w:szCs w:val="24"/>
        </w:rPr>
        <w:t>Cassar</w:t>
      </w:r>
      <w:proofErr w:type="spellEnd"/>
      <w:r w:rsidR="001436D9" w:rsidRPr="00BE0690">
        <w:rPr>
          <w:rFonts w:ascii="Times New Roman" w:hAnsi="Times New Roman" w:cs="Times New Roman"/>
          <w:sz w:val="24"/>
          <w:szCs w:val="24"/>
        </w:rPr>
        <w:t>, 2014)</w:t>
      </w:r>
      <w:r w:rsidRPr="00BE0690">
        <w:rPr>
          <w:rFonts w:ascii="Times New Roman" w:hAnsi="Times New Roman" w:cs="Times New Roman"/>
          <w:sz w:val="24"/>
          <w:szCs w:val="24"/>
        </w:rPr>
        <w:t xml:space="preserve">. The choice of school and profession that fits best has a high impact on someone’s education, future, career networks and opportunities as well as investment returns. Graduate programs are costly, and hence it is essential to make the right career path choices in the graduate school programs. </w:t>
      </w:r>
    </w:p>
    <w:p w:rsidR="003A7CB3" w:rsidRPr="00BE0690" w:rsidRDefault="003A7CB3" w:rsidP="00BE0690">
      <w:pPr>
        <w:spacing w:line="480" w:lineRule="auto"/>
        <w:ind w:firstLine="720"/>
        <w:rPr>
          <w:rFonts w:ascii="Times New Roman" w:hAnsi="Times New Roman" w:cs="Times New Roman"/>
          <w:sz w:val="24"/>
          <w:szCs w:val="24"/>
        </w:rPr>
      </w:pPr>
      <w:r w:rsidRPr="00BE0690">
        <w:rPr>
          <w:rFonts w:ascii="Times New Roman" w:hAnsi="Times New Roman" w:cs="Times New Roman"/>
          <w:sz w:val="24"/>
          <w:szCs w:val="24"/>
        </w:rPr>
        <w:t>Another importance of Bachelor’s degree is that you get to have more feedback to contribute to the classes in the graduate programs, and you also have a better chance of gaining more from the sessions (Coates &amp; McCormick, 2014). In recent times, most graduate programs incorporate case studies, teamwork discussions, real global ventures and practical learning that rely heavily on experience and skills obtained in the Bachelor’s work and life experience.</w:t>
      </w:r>
    </w:p>
    <w:p w:rsidR="005A0C65" w:rsidRPr="00BE0690" w:rsidRDefault="003A7CB3" w:rsidP="00BE0690">
      <w:pPr>
        <w:spacing w:line="480" w:lineRule="auto"/>
        <w:jc w:val="center"/>
        <w:rPr>
          <w:rFonts w:ascii="Times New Roman" w:hAnsi="Times New Roman" w:cs="Times New Roman"/>
          <w:b/>
          <w:sz w:val="24"/>
          <w:szCs w:val="24"/>
        </w:rPr>
      </w:pPr>
      <w:r w:rsidRPr="00BE0690">
        <w:rPr>
          <w:rFonts w:ascii="Times New Roman" w:hAnsi="Times New Roman" w:cs="Times New Roman"/>
          <w:b/>
          <w:sz w:val="24"/>
          <w:szCs w:val="24"/>
        </w:rPr>
        <w:lastRenderedPageBreak/>
        <w:t>Question 5: Trend Justification</w:t>
      </w:r>
    </w:p>
    <w:p w:rsidR="001436D9" w:rsidRPr="00BE0690" w:rsidRDefault="001436D9" w:rsidP="00BE0690">
      <w:pPr>
        <w:spacing w:line="480" w:lineRule="auto"/>
        <w:rPr>
          <w:rFonts w:ascii="Times New Roman" w:hAnsi="Times New Roman" w:cs="Times New Roman"/>
          <w:sz w:val="24"/>
          <w:szCs w:val="24"/>
        </w:rPr>
      </w:pPr>
      <w:r w:rsidRPr="00BE0690">
        <w:rPr>
          <w:rFonts w:ascii="Times New Roman" w:hAnsi="Times New Roman" w:cs="Times New Roman"/>
          <w:sz w:val="24"/>
          <w:szCs w:val="24"/>
        </w:rPr>
        <w:t xml:space="preserve">Below is a </w:t>
      </w:r>
      <w:r w:rsidR="0093439F" w:rsidRPr="00BE0690">
        <w:rPr>
          <w:rFonts w:ascii="Times New Roman" w:hAnsi="Times New Roman" w:cs="Times New Roman"/>
          <w:sz w:val="24"/>
          <w:szCs w:val="24"/>
        </w:rPr>
        <w:t>bar</w:t>
      </w:r>
      <w:r w:rsidRPr="00BE0690">
        <w:rPr>
          <w:rFonts w:ascii="Times New Roman" w:hAnsi="Times New Roman" w:cs="Times New Roman"/>
          <w:sz w:val="24"/>
          <w:szCs w:val="24"/>
        </w:rPr>
        <w:t xml:space="preserve"> representation showing a comparison </w:t>
      </w:r>
      <w:r w:rsidR="0093439F" w:rsidRPr="00BE0690">
        <w:rPr>
          <w:rFonts w:ascii="Times New Roman" w:hAnsi="Times New Roman" w:cs="Times New Roman"/>
          <w:sz w:val="24"/>
          <w:szCs w:val="24"/>
        </w:rPr>
        <w:t>Employment rates of young adults, by sex and educational basis: 2017</w:t>
      </w:r>
      <w:r w:rsidRPr="00BE0690">
        <w:rPr>
          <w:rFonts w:ascii="Times New Roman" w:hAnsi="Times New Roman" w:cs="Times New Roman"/>
          <w:sz w:val="24"/>
          <w:szCs w:val="24"/>
        </w:rPr>
        <w:t>.</w:t>
      </w:r>
    </w:p>
    <w:p w:rsidR="0093439F" w:rsidRPr="00BE0690" w:rsidRDefault="0093439F" w:rsidP="00BE0690">
      <w:pPr>
        <w:spacing w:line="480" w:lineRule="auto"/>
        <w:rPr>
          <w:rFonts w:ascii="Times New Roman" w:hAnsi="Times New Roman" w:cs="Times New Roman"/>
          <w:sz w:val="24"/>
          <w:szCs w:val="24"/>
        </w:rPr>
      </w:pPr>
      <w:r w:rsidRPr="00BE0690">
        <w:rPr>
          <w:rFonts w:ascii="Times New Roman" w:hAnsi="Times New Roman" w:cs="Times New Roman"/>
          <w:noProof/>
          <w:sz w:val="24"/>
          <w:szCs w:val="24"/>
        </w:rPr>
        <w:drawing>
          <wp:inline distT="0" distB="0" distL="0" distR="0" wp14:anchorId="627079A6" wp14:editId="28B4613E">
            <wp:extent cx="5943600" cy="2821229"/>
            <wp:effectExtent l="0" t="0" r="0" b="0"/>
            <wp:docPr id="2" name="Picture 2" descr="The data in this figure is described in the surrounding 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data in this figure is described in the surrounding text.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821229"/>
                    </a:xfrm>
                    <a:prstGeom prst="rect">
                      <a:avLst/>
                    </a:prstGeom>
                    <a:noFill/>
                    <a:ln>
                      <a:noFill/>
                    </a:ln>
                  </pic:spPr>
                </pic:pic>
              </a:graphicData>
            </a:graphic>
          </wp:inline>
        </w:drawing>
      </w:r>
    </w:p>
    <w:p w:rsidR="003A7CB3" w:rsidRPr="00BE0690" w:rsidRDefault="008B1868" w:rsidP="00BE0690">
      <w:pPr>
        <w:spacing w:line="480" w:lineRule="auto"/>
        <w:ind w:firstLine="720"/>
        <w:rPr>
          <w:rFonts w:ascii="Times New Roman" w:hAnsi="Times New Roman" w:cs="Times New Roman"/>
          <w:sz w:val="24"/>
          <w:szCs w:val="24"/>
        </w:rPr>
      </w:pPr>
      <w:r w:rsidRPr="00BE0690">
        <w:rPr>
          <w:rFonts w:ascii="Times New Roman" w:hAnsi="Times New Roman" w:cs="Times New Roman"/>
          <w:sz w:val="24"/>
          <w:szCs w:val="24"/>
        </w:rPr>
        <w:t xml:space="preserve">The data above focused on 25 to 34-year-olds in examining current trends according to the employment rate versus the unemployment rate. The two measures are different but related to </w:t>
      </w:r>
      <w:proofErr w:type="spellStart"/>
      <w:r w:rsidRPr="00BE0690">
        <w:rPr>
          <w:rFonts w:ascii="Times New Roman" w:hAnsi="Times New Roman" w:cs="Times New Roman"/>
          <w:sz w:val="24"/>
          <w:szCs w:val="24"/>
        </w:rPr>
        <w:t>labour</w:t>
      </w:r>
      <w:proofErr w:type="spellEnd"/>
      <w:r w:rsidRPr="00BE0690">
        <w:rPr>
          <w:rFonts w:ascii="Times New Roman" w:hAnsi="Times New Roman" w:cs="Times New Roman"/>
          <w:sz w:val="24"/>
          <w:szCs w:val="24"/>
        </w:rPr>
        <w:t xml:space="preserve"> market conditions. The employment rate denotes the number of people in the population employed compared to the civilian population in a group (</w:t>
      </w:r>
      <w:proofErr w:type="spellStart"/>
      <w:r w:rsidRPr="00BE0690">
        <w:rPr>
          <w:rFonts w:ascii="Times New Roman" w:hAnsi="Times New Roman" w:cs="Times New Roman"/>
          <w:sz w:val="24"/>
          <w:szCs w:val="24"/>
        </w:rPr>
        <w:t>Brandolini</w:t>
      </w:r>
      <w:proofErr w:type="spellEnd"/>
      <w:r w:rsidRPr="00BE0690">
        <w:rPr>
          <w:rFonts w:ascii="Times New Roman" w:hAnsi="Times New Roman" w:cs="Times New Roman"/>
          <w:sz w:val="24"/>
          <w:szCs w:val="24"/>
        </w:rPr>
        <w:t xml:space="preserve"> &amp; </w:t>
      </w:r>
      <w:proofErr w:type="spellStart"/>
      <w:r w:rsidRPr="00BE0690">
        <w:rPr>
          <w:rFonts w:ascii="Times New Roman" w:hAnsi="Times New Roman" w:cs="Times New Roman"/>
          <w:sz w:val="24"/>
          <w:szCs w:val="24"/>
        </w:rPr>
        <w:t>Viviano</w:t>
      </w:r>
      <w:proofErr w:type="spellEnd"/>
      <w:r w:rsidRPr="00BE0690">
        <w:rPr>
          <w:rFonts w:ascii="Times New Roman" w:hAnsi="Times New Roman" w:cs="Times New Roman"/>
          <w:sz w:val="24"/>
          <w:szCs w:val="24"/>
        </w:rPr>
        <w:t xml:space="preserve">.  2016). The unemployment rate, on the other hand, is the ratio of individuals in the civilian </w:t>
      </w:r>
      <w:proofErr w:type="spellStart"/>
      <w:r w:rsidRPr="00BE0690">
        <w:rPr>
          <w:rFonts w:ascii="Times New Roman" w:hAnsi="Times New Roman" w:cs="Times New Roman"/>
          <w:sz w:val="24"/>
          <w:szCs w:val="24"/>
        </w:rPr>
        <w:t>labour</w:t>
      </w:r>
      <w:proofErr w:type="spellEnd"/>
      <w:r w:rsidRPr="00BE0690">
        <w:rPr>
          <w:rFonts w:ascii="Times New Roman" w:hAnsi="Times New Roman" w:cs="Times New Roman"/>
          <w:sz w:val="24"/>
          <w:szCs w:val="24"/>
        </w:rPr>
        <w:t xml:space="preserve"> not working but have made efforts to seek employment in the prior 4 weeks. According to the data, the employment rate by companies rises with an increase in educational attainment in this case representing 86 per cent of people bachelor's or master’s degree. Employers are generally seeking people with higher knowledge in the field for hiring (England, 2017). It is unlikely that a panel would reject selecting a candidate with higher qualifications and expertise and go for the one with lower credentials at any point (</w:t>
      </w:r>
      <w:proofErr w:type="spellStart"/>
      <w:r w:rsidRPr="00BE0690">
        <w:rPr>
          <w:rFonts w:ascii="Times New Roman" w:hAnsi="Times New Roman" w:cs="Times New Roman"/>
          <w:sz w:val="24"/>
          <w:szCs w:val="24"/>
        </w:rPr>
        <w:t>Hanushek</w:t>
      </w:r>
      <w:proofErr w:type="spellEnd"/>
      <w:r w:rsidRPr="00BE0690">
        <w:rPr>
          <w:rFonts w:ascii="Times New Roman" w:hAnsi="Times New Roman" w:cs="Times New Roman"/>
          <w:sz w:val="24"/>
          <w:szCs w:val="24"/>
        </w:rPr>
        <w:t xml:space="preserve"> et al., 2017)  </w:t>
      </w:r>
    </w:p>
    <w:p w:rsidR="00065FA3" w:rsidRPr="00BE0690" w:rsidRDefault="00065FA3" w:rsidP="00BE0690">
      <w:pPr>
        <w:spacing w:line="480" w:lineRule="auto"/>
        <w:rPr>
          <w:rFonts w:ascii="Times New Roman" w:hAnsi="Times New Roman" w:cs="Times New Roman"/>
          <w:sz w:val="24"/>
          <w:szCs w:val="24"/>
        </w:rPr>
      </w:pPr>
    </w:p>
    <w:p w:rsidR="003A7CB3" w:rsidRPr="00BE0690" w:rsidRDefault="003A7CB3" w:rsidP="00BE0690">
      <w:pPr>
        <w:spacing w:line="480" w:lineRule="auto"/>
        <w:rPr>
          <w:rFonts w:ascii="Times New Roman" w:hAnsi="Times New Roman" w:cs="Times New Roman"/>
          <w:sz w:val="24"/>
          <w:szCs w:val="24"/>
        </w:rPr>
      </w:pPr>
    </w:p>
    <w:p w:rsidR="003A7CB3" w:rsidRPr="00BE0690" w:rsidRDefault="003A7CB3" w:rsidP="00BE0690">
      <w:pPr>
        <w:spacing w:line="480" w:lineRule="auto"/>
        <w:jc w:val="center"/>
        <w:rPr>
          <w:rFonts w:ascii="Times New Roman" w:hAnsi="Times New Roman" w:cs="Times New Roman"/>
          <w:b/>
          <w:sz w:val="24"/>
          <w:szCs w:val="24"/>
        </w:rPr>
      </w:pPr>
      <w:r w:rsidRPr="00BE0690">
        <w:rPr>
          <w:rFonts w:ascii="Times New Roman" w:hAnsi="Times New Roman" w:cs="Times New Roman"/>
          <w:b/>
          <w:sz w:val="24"/>
          <w:szCs w:val="24"/>
        </w:rPr>
        <w:t>Question 6: Connections of Literature Review and Trends</w:t>
      </w:r>
    </w:p>
    <w:p w:rsidR="003A7CB3" w:rsidRPr="00BE0690" w:rsidRDefault="003A7CB3" w:rsidP="00BE0690">
      <w:pPr>
        <w:spacing w:line="480" w:lineRule="auto"/>
        <w:ind w:firstLine="720"/>
        <w:rPr>
          <w:rFonts w:ascii="Times New Roman" w:hAnsi="Times New Roman" w:cs="Times New Roman"/>
          <w:sz w:val="24"/>
          <w:szCs w:val="24"/>
        </w:rPr>
      </w:pPr>
      <w:r w:rsidRPr="00BE0690">
        <w:rPr>
          <w:rFonts w:ascii="Times New Roman" w:hAnsi="Times New Roman" w:cs="Times New Roman"/>
          <w:sz w:val="24"/>
          <w:szCs w:val="24"/>
        </w:rPr>
        <w:t>According to P. et al., (2014), the students with prior experience also have a better chance of qualifying for unique programs chances at the graduate schools and end up having a better-rounded and enjoyable experience even as they pursue the courses of their choice. Additionally, the expertise places the applicant in a better chance to qualify for future internships, fellowships, as well as jobs, paying well and such students always start well for their careers without much struggle. The employers are likely to give such students job positions with more responsibilities and also better compensation compared to the applicants who may lack the post-undergrad experiences.</w:t>
      </w:r>
    </w:p>
    <w:p w:rsidR="003A7CB3" w:rsidRPr="00BE0690" w:rsidRDefault="003A7CB3" w:rsidP="00BE0690">
      <w:pPr>
        <w:spacing w:line="480" w:lineRule="auto"/>
        <w:jc w:val="center"/>
        <w:rPr>
          <w:rFonts w:ascii="Times New Roman" w:hAnsi="Times New Roman" w:cs="Times New Roman"/>
          <w:b/>
          <w:sz w:val="24"/>
          <w:szCs w:val="24"/>
        </w:rPr>
      </w:pPr>
      <w:r w:rsidRPr="00BE0690">
        <w:rPr>
          <w:rFonts w:ascii="Times New Roman" w:hAnsi="Times New Roman" w:cs="Times New Roman"/>
          <w:b/>
          <w:sz w:val="24"/>
          <w:szCs w:val="24"/>
        </w:rPr>
        <w:t>Question 7: Summary</w:t>
      </w:r>
    </w:p>
    <w:p w:rsidR="003A7CB3" w:rsidRPr="00BE0690" w:rsidRDefault="003A7CB3" w:rsidP="00BE0690">
      <w:pPr>
        <w:spacing w:line="480" w:lineRule="auto"/>
        <w:ind w:firstLine="720"/>
        <w:rPr>
          <w:rFonts w:ascii="Times New Roman" w:hAnsi="Times New Roman" w:cs="Times New Roman"/>
          <w:sz w:val="24"/>
          <w:szCs w:val="24"/>
        </w:rPr>
      </w:pPr>
      <w:r w:rsidRPr="00BE0690">
        <w:rPr>
          <w:rFonts w:ascii="Times New Roman" w:hAnsi="Times New Roman" w:cs="Times New Roman"/>
          <w:sz w:val="24"/>
          <w:szCs w:val="24"/>
        </w:rPr>
        <w:t>Some people can also argue that it is also a fair alternative to join graduate school immediately after the undergraduate programs. Most people are motivated to move straight for their master’s degree programs for many reasons. Many programs offered in the graduate schools that admit students before experience and provide them with funding instead (</w:t>
      </w:r>
      <w:proofErr w:type="spellStart"/>
      <w:r w:rsidRPr="00BE0690">
        <w:rPr>
          <w:rFonts w:ascii="Times New Roman" w:hAnsi="Times New Roman" w:cs="Times New Roman"/>
          <w:sz w:val="24"/>
          <w:szCs w:val="24"/>
        </w:rPr>
        <w:t>Holzweiss</w:t>
      </w:r>
      <w:proofErr w:type="spellEnd"/>
      <w:r w:rsidRPr="00BE0690">
        <w:rPr>
          <w:rFonts w:ascii="Times New Roman" w:hAnsi="Times New Roman" w:cs="Times New Roman"/>
          <w:sz w:val="24"/>
          <w:szCs w:val="24"/>
        </w:rPr>
        <w:t xml:space="preserve"> et al., 2014). While that is also a good solution, there is also the reality of the job market today. Many professionals who have been in the job market for a long time can agree to the fact that work experience before graduate school is critical. Many students who have been beneficiaries of the prior experience have numerous advantages compared to those who miss the opportunity.</w:t>
      </w:r>
    </w:p>
    <w:p w:rsidR="003A7CB3" w:rsidRPr="00BE0690" w:rsidRDefault="003A7CB3" w:rsidP="00BE0690">
      <w:pPr>
        <w:spacing w:line="480" w:lineRule="auto"/>
        <w:rPr>
          <w:rFonts w:ascii="Times New Roman" w:hAnsi="Times New Roman" w:cs="Times New Roman"/>
          <w:sz w:val="24"/>
          <w:szCs w:val="24"/>
        </w:rPr>
      </w:pPr>
    </w:p>
    <w:p w:rsidR="00AB5FB6" w:rsidRPr="00BE0690" w:rsidRDefault="00AB5FB6" w:rsidP="00BE0690">
      <w:pPr>
        <w:spacing w:line="480" w:lineRule="auto"/>
        <w:jc w:val="center"/>
        <w:rPr>
          <w:rFonts w:ascii="Times New Roman" w:hAnsi="Times New Roman" w:cs="Times New Roman"/>
          <w:sz w:val="24"/>
          <w:szCs w:val="24"/>
        </w:rPr>
      </w:pPr>
      <w:r w:rsidRPr="00BE0690">
        <w:rPr>
          <w:rFonts w:ascii="Times New Roman" w:hAnsi="Times New Roman" w:cs="Times New Roman"/>
          <w:b/>
          <w:sz w:val="24"/>
          <w:szCs w:val="24"/>
        </w:rPr>
        <w:lastRenderedPageBreak/>
        <w:t>References</w:t>
      </w:r>
    </w:p>
    <w:p w:rsidR="008B1868" w:rsidRPr="00BE0690" w:rsidRDefault="008B1868" w:rsidP="00BE0690">
      <w:pPr>
        <w:spacing w:line="480" w:lineRule="auto"/>
        <w:ind w:left="720" w:hanging="720"/>
        <w:rPr>
          <w:rFonts w:ascii="Times New Roman" w:hAnsi="Times New Roman" w:cs="Times New Roman"/>
          <w:color w:val="222222"/>
          <w:sz w:val="24"/>
          <w:szCs w:val="24"/>
          <w:shd w:val="clear" w:color="auto" w:fill="FFFFFF"/>
        </w:rPr>
      </w:pPr>
      <w:r w:rsidRPr="00BE0690">
        <w:rPr>
          <w:rFonts w:ascii="Times New Roman" w:hAnsi="Times New Roman" w:cs="Times New Roman"/>
          <w:color w:val="222222"/>
          <w:sz w:val="24"/>
          <w:szCs w:val="24"/>
          <w:shd w:val="clear" w:color="auto" w:fill="FFFFFF"/>
        </w:rPr>
        <w:t>Ali, S. (2018). A Qualitative Study: How Northeastern Illinois University’s College of Education Program Successfully Prepares Black Males with a Previous Individualized Learning Plan to Become Teachers. </w:t>
      </w:r>
      <w:r w:rsidRPr="00BE0690">
        <w:rPr>
          <w:rFonts w:ascii="Times New Roman" w:hAnsi="Times New Roman" w:cs="Times New Roman"/>
          <w:i/>
          <w:iCs/>
          <w:color w:val="222222"/>
          <w:sz w:val="24"/>
          <w:szCs w:val="24"/>
          <w:shd w:val="clear" w:color="auto" w:fill="FFFFFF"/>
        </w:rPr>
        <w:t>Journal of Research Initiatives</w:t>
      </w:r>
      <w:r w:rsidRPr="00BE0690">
        <w:rPr>
          <w:rFonts w:ascii="Times New Roman" w:hAnsi="Times New Roman" w:cs="Times New Roman"/>
          <w:color w:val="222222"/>
          <w:sz w:val="24"/>
          <w:szCs w:val="24"/>
          <w:shd w:val="clear" w:color="auto" w:fill="FFFFFF"/>
        </w:rPr>
        <w:t>, </w:t>
      </w:r>
      <w:r w:rsidRPr="00BE0690">
        <w:rPr>
          <w:rFonts w:ascii="Times New Roman" w:hAnsi="Times New Roman" w:cs="Times New Roman"/>
          <w:i/>
          <w:iCs/>
          <w:color w:val="222222"/>
          <w:sz w:val="24"/>
          <w:szCs w:val="24"/>
          <w:shd w:val="clear" w:color="auto" w:fill="FFFFFF"/>
        </w:rPr>
        <w:t>3</w:t>
      </w:r>
      <w:r w:rsidRPr="00BE0690">
        <w:rPr>
          <w:rFonts w:ascii="Times New Roman" w:hAnsi="Times New Roman" w:cs="Times New Roman"/>
          <w:color w:val="222222"/>
          <w:sz w:val="24"/>
          <w:szCs w:val="24"/>
          <w:shd w:val="clear" w:color="auto" w:fill="FFFFFF"/>
        </w:rPr>
        <w:t>(2), 7.</w:t>
      </w:r>
    </w:p>
    <w:p w:rsidR="008B1868" w:rsidRPr="00BE0690" w:rsidRDefault="008B1868" w:rsidP="00BE0690">
      <w:pPr>
        <w:spacing w:line="480" w:lineRule="auto"/>
        <w:ind w:left="720" w:hanging="720"/>
        <w:rPr>
          <w:rFonts w:ascii="Times New Roman" w:hAnsi="Times New Roman" w:cs="Times New Roman"/>
          <w:color w:val="222222"/>
          <w:sz w:val="24"/>
          <w:szCs w:val="24"/>
          <w:shd w:val="clear" w:color="auto" w:fill="FFFFFF"/>
        </w:rPr>
      </w:pPr>
      <w:proofErr w:type="spellStart"/>
      <w:r w:rsidRPr="00BE0690">
        <w:rPr>
          <w:rFonts w:ascii="Times New Roman" w:hAnsi="Times New Roman" w:cs="Times New Roman"/>
          <w:color w:val="222222"/>
          <w:sz w:val="24"/>
          <w:szCs w:val="24"/>
          <w:shd w:val="clear" w:color="auto" w:fill="FFFFFF"/>
        </w:rPr>
        <w:t>Brandolini</w:t>
      </w:r>
      <w:proofErr w:type="spellEnd"/>
      <w:r w:rsidRPr="00BE0690">
        <w:rPr>
          <w:rFonts w:ascii="Times New Roman" w:hAnsi="Times New Roman" w:cs="Times New Roman"/>
          <w:color w:val="222222"/>
          <w:sz w:val="24"/>
          <w:szCs w:val="24"/>
          <w:shd w:val="clear" w:color="auto" w:fill="FFFFFF"/>
        </w:rPr>
        <w:t xml:space="preserve">, A., &amp; </w:t>
      </w:r>
      <w:proofErr w:type="spellStart"/>
      <w:r w:rsidRPr="00BE0690">
        <w:rPr>
          <w:rFonts w:ascii="Times New Roman" w:hAnsi="Times New Roman" w:cs="Times New Roman"/>
          <w:color w:val="222222"/>
          <w:sz w:val="24"/>
          <w:szCs w:val="24"/>
          <w:shd w:val="clear" w:color="auto" w:fill="FFFFFF"/>
        </w:rPr>
        <w:t>Viviano</w:t>
      </w:r>
      <w:proofErr w:type="spellEnd"/>
      <w:r w:rsidRPr="00BE0690">
        <w:rPr>
          <w:rFonts w:ascii="Times New Roman" w:hAnsi="Times New Roman" w:cs="Times New Roman"/>
          <w:color w:val="222222"/>
          <w:sz w:val="24"/>
          <w:szCs w:val="24"/>
          <w:shd w:val="clear" w:color="auto" w:fill="FFFFFF"/>
        </w:rPr>
        <w:t>, E. (2016). Behind and beyond the (head count) employment rate. </w:t>
      </w:r>
      <w:r w:rsidRPr="00BE0690">
        <w:rPr>
          <w:rFonts w:ascii="Times New Roman" w:hAnsi="Times New Roman" w:cs="Times New Roman"/>
          <w:i/>
          <w:iCs/>
          <w:color w:val="222222"/>
          <w:sz w:val="24"/>
          <w:szCs w:val="24"/>
          <w:shd w:val="clear" w:color="auto" w:fill="FFFFFF"/>
        </w:rPr>
        <w:t>Journal of the Royal Statistical Society: Series A (Statistics in Society)</w:t>
      </w:r>
      <w:r w:rsidRPr="00BE0690">
        <w:rPr>
          <w:rFonts w:ascii="Times New Roman" w:hAnsi="Times New Roman" w:cs="Times New Roman"/>
          <w:color w:val="222222"/>
          <w:sz w:val="24"/>
          <w:szCs w:val="24"/>
          <w:shd w:val="clear" w:color="auto" w:fill="FFFFFF"/>
        </w:rPr>
        <w:t>, </w:t>
      </w:r>
      <w:r w:rsidRPr="00BE0690">
        <w:rPr>
          <w:rFonts w:ascii="Times New Roman" w:hAnsi="Times New Roman" w:cs="Times New Roman"/>
          <w:i/>
          <w:iCs/>
          <w:color w:val="222222"/>
          <w:sz w:val="24"/>
          <w:szCs w:val="24"/>
          <w:shd w:val="clear" w:color="auto" w:fill="FFFFFF"/>
        </w:rPr>
        <w:t>179</w:t>
      </w:r>
      <w:r w:rsidRPr="00BE0690">
        <w:rPr>
          <w:rFonts w:ascii="Times New Roman" w:hAnsi="Times New Roman" w:cs="Times New Roman"/>
          <w:color w:val="222222"/>
          <w:sz w:val="24"/>
          <w:szCs w:val="24"/>
          <w:shd w:val="clear" w:color="auto" w:fill="FFFFFF"/>
        </w:rPr>
        <w:t>(3), 657-681.</w:t>
      </w:r>
    </w:p>
    <w:p w:rsidR="008B1868" w:rsidRPr="00BE0690" w:rsidRDefault="008B1868" w:rsidP="00BE0690">
      <w:pPr>
        <w:spacing w:line="480" w:lineRule="auto"/>
        <w:ind w:left="720" w:hanging="720"/>
        <w:rPr>
          <w:rFonts w:ascii="Times New Roman" w:hAnsi="Times New Roman" w:cs="Times New Roman"/>
          <w:color w:val="222222"/>
          <w:sz w:val="24"/>
          <w:szCs w:val="24"/>
          <w:shd w:val="clear" w:color="auto" w:fill="FFFFFF"/>
        </w:rPr>
      </w:pPr>
      <w:proofErr w:type="spellStart"/>
      <w:r w:rsidRPr="00BE0690">
        <w:rPr>
          <w:rFonts w:ascii="Times New Roman" w:hAnsi="Times New Roman" w:cs="Times New Roman"/>
          <w:color w:val="222222"/>
          <w:sz w:val="24"/>
          <w:szCs w:val="24"/>
          <w:shd w:val="clear" w:color="auto" w:fill="FFFFFF"/>
        </w:rPr>
        <w:t>Cassar</w:t>
      </w:r>
      <w:proofErr w:type="spellEnd"/>
      <w:r w:rsidRPr="00BE0690">
        <w:rPr>
          <w:rFonts w:ascii="Times New Roman" w:hAnsi="Times New Roman" w:cs="Times New Roman"/>
          <w:color w:val="222222"/>
          <w:sz w:val="24"/>
          <w:szCs w:val="24"/>
          <w:shd w:val="clear" w:color="auto" w:fill="FFFFFF"/>
        </w:rPr>
        <w:t>, G. (2014). Industry and startup experience on entrepreneur forecast performance in new firms. </w:t>
      </w:r>
      <w:r w:rsidRPr="00BE0690">
        <w:rPr>
          <w:rFonts w:ascii="Times New Roman" w:hAnsi="Times New Roman" w:cs="Times New Roman"/>
          <w:i/>
          <w:iCs/>
          <w:color w:val="222222"/>
          <w:sz w:val="24"/>
          <w:szCs w:val="24"/>
          <w:shd w:val="clear" w:color="auto" w:fill="FFFFFF"/>
        </w:rPr>
        <w:t>Journal of Business Venturing</w:t>
      </w:r>
      <w:r w:rsidRPr="00BE0690">
        <w:rPr>
          <w:rFonts w:ascii="Times New Roman" w:hAnsi="Times New Roman" w:cs="Times New Roman"/>
          <w:color w:val="222222"/>
          <w:sz w:val="24"/>
          <w:szCs w:val="24"/>
          <w:shd w:val="clear" w:color="auto" w:fill="FFFFFF"/>
        </w:rPr>
        <w:t>, </w:t>
      </w:r>
      <w:r w:rsidRPr="00BE0690">
        <w:rPr>
          <w:rFonts w:ascii="Times New Roman" w:hAnsi="Times New Roman" w:cs="Times New Roman"/>
          <w:i/>
          <w:iCs/>
          <w:color w:val="222222"/>
          <w:sz w:val="24"/>
          <w:szCs w:val="24"/>
          <w:shd w:val="clear" w:color="auto" w:fill="FFFFFF"/>
        </w:rPr>
        <w:t>29</w:t>
      </w:r>
      <w:r w:rsidRPr="00BE0690">
        <w:rPr>
          <w:rFonts w:ascii="Times New Roman" w:hAnsi="Times New Roman" w:cs="Times New Roman"/>
          <w:color w:val="222222"/>
          <w:sz w:val="24"/>
          <w:szCs w:val="24"/>
          <w:shd w:val="clear" w:color="auto" w:fill="FFFFFF"/>
        </w:rPr>
        <w:t>(1), 137-151.</w:t>
      </w:r>
    </w:p>
    <w:p w:rsidR="008B1868" w:rsidRPr="00BE0690" w:rsidRDefault="008B1868" w:rsidP="00BE0690">
      <w:pPr>
        <w:spacing w:line="480" w:lineRule="auto"/>
        <w:ind w:left="720" w:hanging="720"/>
        <w:rPr>
          <w:rFonts w:ascii="Times New Roman" w:hAnsi="Times New Roman" w:cs="Times New Roman"/>
          <w:color w:val="222222"/>
          <w:sz w:val="24"/>
          <w:szCs w:val="24"/>
          <w:shd w:val="clear" w:color="auto" w:fill="FFFFFF"/>
        </w:rPr>
      </w:pPr>
      <w:r w:rsidRPr="00BE0690">
        <w:rPr>
          <w:rFonts w:ascii="Times New Roman" w:hAnsi="Times New Roman" w:cs="Times New Roman"/>
          <w:color w:val="222222"/>
          <w:sz w:val="24"/>
          <w:szCs w:val="24"/>
          <w:shd w:val="clear" w:color="auto" w:fill="FFFFFF"/>
        </w:rPr>
        <w:t xml:space="preserve">Chiang, J. K. H., &amp; </w:t>
      </w:r>
      <w:proofErr w:type="spellStart"/>
      <w:r w:rsidRPr="00BE0690">
        <w:rPr>
          <w:rFonts w:ascii="Times New Roman" w:hAnsi="Times New Roman" w:cs="Times New Roman"/>
          <w:color w:val="222222"/>
          <w:sz w:val="24"/>
          <w:szCs w:val="24"/>
          <w:shd w:val="clear" w:color="auto" w:fill="FFFFFF"/>
        </w:rPr>
        <w:t>Suen</w:t>
      </w:r>
      <w:proofErr w:type="spellEnd"/>
      <w:r w:rsidRPr="00BE0690">
        <w:rPr>
          <w:rFonts w:ascii="Times New Roman" w:hAnsi="Times New Roman" w:cs="Times New Roman"/>
          <w:color w:val="222222"/>
          <w:sz w:val="24"/>
          <w:szCs w:val="24"/>
          <w:shd w:val="clear" w:color="auto" w:fill="FFFFFF"/>
        </w:rPr>
        <w:t>, H. Y. (2015). Self-presentation and hiring recommendations in online communities: Lessons from LinkedIn. </w:t>
      </w:r>
      <w:r w:rsidRPr="00BE0690">
        <w:rPr>
          <w:rFonts w:ascii="Times New Roman" w:hAnsi="Times New Roman" w:cs="Times New Roman"/>
          <w:i/>
          <w:iCs/>
          <w:color w:val="222222"/>
          <w:sz w:val="24"/>
          <w:szCs w:val="24"/>
          <w:shd w:val="clear" w:color="auto" w:fill="FFFFFF"/>
        </w:rPr>
        <w:t>Computers in Human Behavior</w:t>
      </w:r>
      <w:r w:rsidRPr="00BE0690">
        <w:rPr>
          <w:rFonts w:ascii="Times New Roman" w:hAnsi="Times New Roman" w:cs="Times New Roman"/>
          <w:color w:val="222222"/>
          <w:sz w:val="24"/>
          <w:szCs w:val="24"/>
          <w:shd w:val="clear" w:color="auto" w:fill="FFFFFF"/>
        </w:rPr>
        <w:t>, </w:t>
      </w:r>
      <w:r w:rsidRPr="00BE0690">
        <w:rPr>
          <w:rFonts w:ascii="Times New Roman" w:hAnsi="Times New Roman" w:cs="Times New Roman"/>
          <w:i/>
          <w:iCs/>
          <w:color w:val="222222"/>
          <w:sz w:val="24"/>
          <w:szCs w:val="24"/>
          <w:shd w:val="clear" w:color="auto" w:fill="FFFFFF"/>
        </w:rPr>
        <w:t>48</w:t>
      </w:r>
      <w:r w:rsidRPr="00BE0690">
        <w:rPr>
          <w:rFonts w:ascii="Times New Roman" w:hAnsi="Times New Roman" w:cs="Times New Roman"/>
          <w:color w:val="222222"/>
          <w:sz w:val="24"/>
          <w:szCs w:val="24"/>
          <w:shd w:val="clear" w:color="auto" w:fill="FFFFFF"/>
        </w:rPr>
        <w:t>, 516-524.</w:t>
      </w:r>
    </w:p>
    <w:p w:rsidR="008B1868" w:rsidRPr="00BE0690" w:rsidRDefault="008B1868" w:rsidP="00BE0690">
      <w:pPr>
        <w:spacing w:line="480" w:lineRule="auto"/>
        <w:ind w:left="720" w:hanging="720"/>
        <w:rPr>
          <w:rFonts w:ascii="Times New Roman" w:hAnsi="Times New Roman" w:cs="Times New Roman"/>
          <w:color w:val="222222"/>
          <w:sz w:val="24"/>
          <w:szCs w:val="24"/>
          <w:shd w:val="clear" w:color="auto" w:fill="FFFFFF"/>
        </w:rPr>
      </w:pPr>
      <w:r w:rsidRPr="00BE0690">
        <w:rPr>
          <w:rFonts w:ascii="Times New Roman" w:hAnsi="Times New Roman" w:cs="Times New Roman"/>
          <w:color w:val="222222"/>
          <w:sz w:val="24"/>
          <w:szCs w:val="24"/>
          <w:shd w:val="clear" w:color="auto" w:fill="FFFFFF"/>
        </w:rPr>
        <w:t>Coates, H., &amp; McCormick, A. C. (Eds.). (2014). </w:t>
      </w:r>
      <w:r w:rsidRPr="00BE0690">
        <w:rPr>
          <w:rFonts w:ascii="Times New Roman" w:hAnsi="Times New Roman" w:cs="Times New Roman"/>
          <w:i/>
          <w:iCs/>
          <w:color w:val="222222"/>
          <w:sz w:val="24"/>
          <w:szCs w:val="24"/>
          <w:shd w:val="clear" w:color="auto" w:fill="FFFFFF"/>
        </w:rPr>
        <w:t>Engaging university students: International insights from system-wide studies</w:t>
      </w:r>
      <w:r w:rsidRPr="00BE0690">
        <w:rPr>
          <w:rFonts w:ascii="Times New Roman" w:hAnsi="Times New Roman" w:cs="Times New Roman"/>
          <w:color w:val="222222"/>
          <w:sz w:val="24"/>
          <w:szCs w:val="24"/>
          <w:shd w:val="clear" w:color="auto" w:fill="FFFFFF"/>
        </w:rPr>
        <w:t>. Springer.</w:t>
      </w:r>
    </w:p>
    <w:p w:rsidR="008B1868" w:rsidRPr="00BE0690" w:rsidRDefault="008B1868" w:rsidP="00BE0690">
      <w:pPr>
        <w:spacing w:line="480" w:lineRule="auto"/>
        <w:ind w:left="720" w:hanging="720"/>
        <w:rPr>
          <w:rFonts w:ascii="Times New Roman" w:hAnsi="Times New Roman" w:cs="Times New Roman"/>
          <w:color w:val="222222"/>
          <w:sz w:val="24"/>
          <w:szCs w:val="24"/>
          <w:shd w:val="clear" w:color="auto" w:fill="FFFFFF"/>
        </w:rPr>
      </w:pPr>
      <w:r w:rsidRPr="00BE0690">
        <w:rPr>
          <w:rFonts w:ascii="Times New Roman" w:hAnsi="Times New Roman" w:cs="Times New Roman"/>
          <w:color w:val="222222"/>
          <w:sz w:val="24"/>
          <w:szCs w:val="24"/>
          <w:shd w:val="clear" w:color="auto" w:fill="FFFFFF"/>
        </w:rPr>
        <w:t>England, P. (2017). </w:t>
      </w:r>
      <w:r w:rsidRPr="00BE0690">
        <w:rPr>
          <w:rFonts w:ascii="Times New Roman" w:hAnsi="Times New Roman" w:cs="Times New Roman"/>
          <w:i/>
          <w:iCs/>
          <w:color w:val="222222"/>
          <w:sz w:val="24"/>
          <w:szCs w:val="24"/>
          <w:shd w:val="clear" w:color="auto" w:fill="FFFFFF"/>
        </w:rPr>
        <w:t>Households, employment, and gender: A social, economic, and demographic view</w:t>
      </w:r>
      <w:r w:rsidRPr="00BE0690">
        <w:rPr>
          <w:rFonts w:ascii="Times New Roman" w:hAnsi="Times New Roman" w:cs="Times New Roman"/>
          <w:color w:val="222222"/>
          <w:sz w:val="24"/>
          <w:szCs w:val="24"/>
          <w:shd w:val="clear" w:color="auto" w:fill="FFFFFF"/>
        </w:rPr>
        <w:t xml:space="preserve">. </w:t>
      </w:r>
      <w:proofErr w:type="spellStart"/>
      <w:r w:rsidRPr="00BE0690">
        <w:rPr>
          <w:rFonts w:ascii="Times New Roman" w:hAnsi="Times New Roman" w:cs="Times New Roman"/>
          <w:color w:val="222222"/>
          <w:sz w:val="24"/>
          <w:szCs w:val="24"/>
          <w:shd w:val="clear" w:color="auto" w:fill="FFFFFF"/>
        </w:rPr>
        <w:t>Routledge</w:t>
      </w:r>
      <w:proofErr w:type="spellEnd"/>
      <w:r w:rsidRPr="00BE0690">
        <w:rPr>
          <w:rFonts w:ascii="Times New Roman" w:hAnsi="Times New Roman" w:cs="Times New Roman"/>
          <w:color w:val="222222"/>
          <w:sz w:val="24"/>
          <w:szCs w:val="24"/>
          <w:shd w:val="clear" w:color="auto" w:fill="FFFFFF"/>
        </w:rPr>
        <w:t>.</w:t>
      </w:r>
    </w:p>
    <w:p w:rsidR="008B1868" w:rsidRPr="00BE0690" w:rsidRDefault="008B1868" w:rsidP="00BE0690">
      <w:pPr>
        <w:spacing w:line="480" w:lineRule="auto"/>
        <w:ind w:left="720" w:hanging="720"/>
        <w:rPr>
          <w:rFonts w:ascii="Times New Roman" w:hAnsi="Times New Roman" w:cs="Times New Roman"/>
          <w:color w:val="222222"/>
          <w:sz w:val="24"/>
          <w:szCs w:val="24"/>
          <w:shd w:val="clear" w:color="auto" w:fill="FFFFFF"/>
        </w:rPr>
      </w:pPr>
      <w:proofErr w:type="spellStart"/>
      <w:r w:rsidRPr="00BE0690">
        <w:rPr>
          <w:rFonts w:ascii="Times New Roman" w:hAnsi="Times New Roman" w:cs="Times New Roman"/>
          <w:color w:val="222222"/>
          <w:sz w:val="24"/>
          <w:szCs w:val="24"/>
          <w:shd w:val="clear" w:color="auto" w:fill="FFFFFF"/>
        </w:rPr>
        <w:t>Hanushek</w:t>
      </w:r>
      <w:proofErr w:type="spellEnd"/>
      <w:r w:rsidRPr="00BE0690">
        <w:rPr>
          <w:rFonts w:ascii="Times New Roman" w:hAnsi="Times New Roman" w:cs="Times New Roman"/>
          <w:color w:val="222222"/>
          <w:sz w:val="24"/>
          <w:szCs w:val="24"/>
          <w:shd w:val="clear" w:color="auto" w:fill="FFFFFF"/>
        </w:rPr>
        <w:t xml:space="preserve">, E. A., </w:t>
      </w:r>
      <w:proofErr w:type="spellStart"/>
      <w:r w:rsidRPr="00BE0690">
        <w:rPr>
          <w:rFonts w:ascii="Times New Roman" w:hAnsi="Times New Roman" w:cs="Times New Roman"/>
          <w:color w:val="222222"/>
          <w:sz w:val="24"/>
          <w:szCs w:val="24"/>
          <w:shd w:val="clear" w:color="auto" w:fill="FFFFFF"/>
        </w:rPr>
        <w:t>Schwerdt</w:t>
      </w:r>
      <w:proofErr w:type="spellEnd"/>
      <w:r w:rsidRPr="00BE0690">
        <w:rPr>
          <w:rFonts w:ascii="Times New Roman" w:hAnsi="Times New Roman" w:cs="Times New Roman"/>
          <w:color w:val="222222"/>
          <w:sz w:val="24"/>
          <w:szCs w:val="24"/>
          <w:shd w:val="clear" w:color="auto" w:fill="FFFFFF"/>
        </w:rPr>
        <w:t xml:space="preserve">, G., </w:t>
      </w:r>
      <w:proofErr w:type="spellStart"/>
      <w:r w:rsidRPr="00BE0690">
        <w:rPr>
          <w:rFonts w:ascii="Times New Roman" w:hAnsi="Times New Roman" w:cs="Times New Roman"/>
          <w:color w:val="222222"/>
          <w:sz w:val="24"/>
          <w:szCs w:val="24"/>
          <w:shd w:val="clear" w:color="auto" w:fill="FFFFFF"/>
        </w:rPr>
        <w:t>Woessmann</w:t>
      </w:r>
      <w:proofErr w:type="spellEnd"/>
      <w:r w:rsidRPr="00BE0690">
        <w:rPr>
          <w:rFonts w:ascii="Times New Roman" w:hAnsi="Times New Roman" w:cs="Times New Roman"/>
          <w:color w:val="222222"/>
          <w:sz w:val="24"/>
          <w:szCs w:val="24"/>
          <w:shd w:val="clear" w:color="auto" w:fill="FFFFFF"/>
        </w:rPr>
        <w:t>, L., &amp; Zhang, L. (2017). General education, vocational education, and labor-market outcomes over the lifecycle. </w:t>
      </w:r>
      <w:r w:rsidRPr="00BE0690">
        <w:rPr>
          <w:rFonts w:ascii="Times New Roman" w:hAnsi="Times New Roman" w:cs="Times New Roman"/>
          <w:i/>
          <w:iCs/>
          <w:color w:val="222222"/>
          <w:sz w:val="24"/>
          <w:szCs w:val="24"/>
          <w:shd w:val="clear" w:color="auto" w:fill="FFFFFF"/>
        </w:rPr>
        <w:t>Journal of Human Resources</w:t>
      </w:r>
      <w:r w:rsidRPr="00BE0690">
        <w:rPr>
          <w:rFonts w:ascii="Times New Roman" w:hAnsi="Times New Roman" w:cs="Times New Roman"/>
          <w:color w:val="222222"/>
          <w:sz w:val="24"/>
          <w:szCs w:val="24"/>
          <w:shd w:val="clear" w:color="auto" w:fill="FFFFFF"/>
        </w:rPr>
        <w:t>, </w:t>
      </w:r>
      <w:r w:rsidRPr="00BE0690">
        <w:rPr>
          <w:rFonts w:ascii="Times New Roman" w:hAnsi="Times New Roman" w:cs="Times New Roman"/>
          <w:i/>
          <w:iCs/>
          <w:color w:val="222222"/>
          <w:sz w:val="24"/>
          <w:szCs w:val="24"/>
          <w:shd w:val="clear" w:color="auto" w:fill="FFFFFF"/>
        </w:rPr>
        <w:t>52</w:t>
      </w:r>
      <w:r w:rsidRPr="00BE0690">
        <w:rPr>
          <w:rFonts w:ascii="Times New Roman" w:hAnsi="Times New Roman" w:cs="Times New Roman"/>
          <w:color w:val="222222"/>
          <w:sz w:val="24"/>
          <w:szCs w:val="24"/>
          <w:shd w:val="clear" w:color="auto" w:fill="FFFFFF"/>
        </w:rPr>
        <w:t>(1), 48-87.</w:t>
      </w:r>
    </w:p>
    <w:p w:rsidR="008B1868" w:rsidRPr="00BE0690" w:rsidRDefault="008B1868" w:rsidP="00BE0690">
      <w:pPr>
        <w:spacing w:line="480" w:lineRule="auto"/>
        <w:ind w:left="720" w:hanging="720"/>
        <w:rPr>
          <w:rFonts w:ascii="Times New Roman" w:hAnsi="Times New Roman" w:cs="Times New Roman"/>
          <w:sz w:val="24"/>
          <w:szCs w:val="24"/>
        </w:rPr>
      </w:pPr>
      <w:proofErr w:type="spellStart"/>
      <w:r w:rsidRPr="00BE0690">
        <w:rPr>
          <w:rFonts w:ascii="Times New Roman" w:hAnsi="Times New Roman" w:cs="Times New Roman"/>
          <w:color w:val="222222"/>
          <w:sz w:val="24"/>
          <w:szCs w:val="24"/>
          <w:shd w:val="clear" w:color="auto" w:fill="FFFFFF"/>
        </w:rPr>
        <w:t>Holzweiss</w:t>
      </w:r>
      <w:proofErr w:type="spellEnd"/>
      <w:r w:rsidRPr="00BE0690">
        <w:rPr>
          <w:rFonts w:ascii="Times New Roman" w:hAnsi="Times New Roman" w:cs="Times New Roman"/>
          <w:color w:val="222222"/>
          <w:sz w:val="24"/>
          <w:szCs w:val="24"/>
          <w:shd w:val="clear" w:color="auto" w:fill="FFFFFF"/>
        </w:rPr>
        <w:t>, P. C., Joyner, S. A., Fuller, M. B., Henderson, S., &amp; Young, R. (2014). Online graduate students’ perceptions of best learning experiences. </w:t>
      </w:r>
      <w:r w:rsidRPr="00BE0690">
        <w:rPr>
          <w:rFonts w:ascii="Times New Roman" w:hAnsi="Times New Roman" w:cs="Times New Roman"/>
          <w:i/>
          <w:iCs/>
          <w:color w:val="222222"/>
          <w:sz w:val="24"/>
          <w:szCs w:val="24"/>
          <w:shd w:val="clear" w:color="auto" w:fill="FFFFFF"/>
        </w:rPr>
        <w:t>Distance Education</w:t>
      </w:r>
      <w:r w:rsidRPr="00BE0690">
        <w:rPr>
          <w:rFonts w:ascii="Times New Roman" w:hAnsi="Times New Roman" w:cs="Times New Roman"/>
          <w:color w:val="222222"/>
          <w:sz w:val="24"/>
          <w:szCs w:val="24"/>
          <w:shd w:val="clear" w:color="auto" w:fill="FFFFFF"/>
        </w:rPr>
        <w:t>, </w:t>
      </w:r>
      <w:r w:rsidRPr="00BE0690">
        <w:rPr>
          <w:rFonts w:ascii="Times New Roman" w:hAnsi="Times New Roman" w:cs="Times New Roman"/>
          <w:i/>
          <w:iCs/>
          <w:color w:val="222222"/>
          <w:sz w:val="24"/>
          <w:szCs w:val="24"/>
          <w:shd w:val="clear" w:color="auto" w:fill="FFFFFF"/>
        </w:rPr>
        <w:t>35</w:t>
      </w:r>
      <w:r w:rsidRPr="00BE0690">
        <w:rPr>
          <w:rFonts w:ascii="Times New Roman" w:hAnsi="Times New Roman" w:cs="Times New Roman"/>
          <w:color w:val="222222"/>
          <w:sz w:val="24"/>
          <w:szCs w:val="24"/>
          <w:shd w:val="clear" w:color="auto" w:fill="FFFFFF"/>
        </w:rPr>
        <w:t>(3), 311-323.</w:t>
      </w:r>
    </w:p>
    <w:p w:rsidR="008B1868" w:rsidRPr="00BE0690" w:rsidRDefault="008B1868" w:rsidP="00BE0690">
      <w:pPr>
        <w:spacing w:line="480" w:lineRule="auto"/>
        <w:ind w:left="720" w:hanging="720"/>
        <w:rPr>
          <w:rFonts w:ascii="Times New Roman" w:hAnsi="Times New Roman" w:cs="Times New Roman"/>
          <w:color w:val="222222"/>
          <w:sz w:val="24"/>
          <w:szCs w:val="24"/>
          <w:shd w:val="clear" w:color="auto" w:fill="FFFFFF"/>
        </w:rPr>
      </w:pPr>
      <w:proofErr w:type="spellStart"/>
      <w:r w:rsidRPr="00BE0690">
        <w:rPr>
          <w:rFonts w:ascii="Times New Roman" w:hAnsi="Times New Roman" w:cs="Times New Roman"/>
          <w:color w:val="222222"/>
          <w:sz w:val="24"/>
          <w:szCs w:val="24"/>
          <w:shd w:val="clear" w:color="auto" w:fill="FFFFFF"/>
        </w:rPr>
        <w:lastRenderedPageBreak/>
        <w:t>Noe</w:t>
      </w:r>
      <w:proofErr w:type="spellEnd"/>
      <w:r w:rsidRPr="00BE0690">
        <w:rPr>
          <w:rFonts w:ascii="Times New Roman" w:hAnsi="Times New Roman" w:cs="Times New Roman"/>
          <w:color w:val="222222"/>
          <w:sz w:val="24"/>
          <w:szCs w:val="24"/>
          <w:shd w:val="clear" w:color="auto" w:fill="FFFFFF"/>
        </w:rPr>
        <w:t xml:space="preserve">, R. A., Hollenbeck, J. R., </w:t>
      </w:r>
      <w:proofErr w:type="spellStart"/>
      <w:r w:rsidRPr="00BE0690">
        <w:rPr>
          <w:rFonts w:ascii="Times New Roman" w:hAnsi="Times New Roman" w:cs="Times New Roman"/>
          <w:color w:val="222222"/>
          <w:sz w:val="24"/>
          <w:szCs w:val="24"/>
          <w:shd w:val="clear" w:color="auto" w:fill="FFFFFF"/>
        </w:rPr>
        <w:t>Gerhart</w:t>
      </w:r>
      <w:proofErr w:type="spellEnd"/>
      <w:r w:rsidRPr="00BE0690">
        <w:rPr>
          <w:rFonts w:ascii="Times New Roman" w:hAnsi="Times New Roman" w:cs="Times New Roman"/>
          <w:color w:val="222222"/>
          <w:sz w:val="24"/>
          <w:szCs w:val="24"/>
          <w:shd w:val="clear" w:color="auto" w:fill="FFFFFF"/>
        </w:rPr>
        <w:t>, B., &amp; Wright, P. M. (2017). </w:t>
      </w:r>
      <w:r w:rsidRPr="00BE0690">
        <w:rPr>
          <w:rFonts w:ascii="Times New Roman" w:hAnsi="Times New Roman" w:cs="Times New Roman"/>
          <w:i/>
          <w:iCs/>
          <w:color w:val="222222"/>
          <w:sz w:val="24"/>
          <w:szCs w:val="24"/>
          <w:shd w:val="clear" w:color="auto" w:fill="FFFFFF"/>
        </w:rPr>
        <w:t>Human resource management: Gaining a competitive advantage</w:t>
      </w:r>
      <w:r w:rsidRPr="00BE0690">
        <w:rPr>
          <w:rFonts w:ascii="Times New Roman" w:hAnsi="Times New Roman" w:cs="Times New Roman"/>
          <w:color w:val="222222"/>
          <w:sz w:val="24"/>
          <w:szCs w:val="24"/>
          <w:shd w:val="clear" w:color="auto" w:fill="FFFFFF"/>
        </w:rPr>
        <w:t>. New York, NY: McGraw-Hill Education.</w:t>
      </w:r>
    </w:p>
    <w:p w:rsidR="008B1868" w:rsidRPr="00BE0690" w:rsidRDefault="008B1868" w:rsidP="00BE0690">
      <w:pPr>
        <w:spacing w:line="480" w:lineRule="auto"/>
        <w:ind w:left="720" w:hanging="720"/>
        <w:rPr>
          <w:rFonts w:ascii="Times New Roman" w:hAnsi="Times New Roman" w:cs="Times New Roman"/>
          <w:color w:val="222222"/>
          <w:sz w:val="24"/>
          <w:szCs w:val="24"/>
          <w:shd w:val="clear" w:color="auto" w:fill="FFFFFF"/>
        </w:rPr>
      </w:pPr>
      <w:r w:rsidRPr="00BE0690">
        <w:rPr>
          <w:rFonts w:ascii="Times New Roman" w:hAnsi="Times New Roman" w:cs="Times New Roman"/>
          <w:color w:val="222222"/>
          <w:sz w:val="24"/>
          <w:szCs w:val="24"/>
          <w:shd w:val="clear" w:color="auto" w:fill="FFFFFF"/>
        </w:rPr>
        <w:t xml:space="preserve">P. </w:t>
      </w:r>
      <w:proofErr w:type="spellStart"/>
      <w:r w:rsidRPr="00BE0690">
        <w:rPr>
          <w:rFonts w:ascii="Times New Roman" w:hAnsi="Times New Roman" w:cs="Times New Roman"/>
          <w:color w:val="222222"/>
          <w:sz w:val="24"/>
          <w:szCs w:val="24"/>
          <w:shd w:val="clear" w:color="auto" w:fill="FFFFFF"/>
        </w:rPr>
        <w:t>Maertz</w:t>
      </w:r>
      <w:proofErr w:type="spellEnd"/>
      <w:r w:rsidRPr="00BE0690">
        <w:rPr>
          <w:rFonts w:ascii="Times New Roman" w:hAnsi="Times New Roman" w:cs="Times New Roman"/>
          <w:color w:val="222222"/>
          <w:sz w:val="24"/>
          <w:szCs w:val="24"/>
          <w:shd w:val="clear" w:color="auto" w:fill="FFFFFF"/>
        </w:rPr>
        <w:t xml:space="preserve"> </w:t>
      </w:r>
      <w:proofErr w:type="spellStart"/>
      <w:r w:rsidRPr="00BE0690">
        <w:rPr>
          <w:rFonts w:ascii="Times New Roman" w:hAnsi="Times New Roman" w:cs="Times New Roman"/>
          <w:color w:val="222222"/>
          <w:sz w:val="24"/>
          <w:szCs w:val="24"/>
          <w:shd w:val="clear" w:color="auto" w:fill="FFFFFF"/>
        </w:rPr>
        <w:t>Jr</w:t>
      </w:r>
      <w:proofErr w:type="spellEnd"/>
      <w:r w:rsidRPr="00BE0690">
        <w:rPr>
          <w:rFonts w:ascii="Times New Roman" w:hAnsi="Times New Roman" w:cs="Times New Roman"/>
          <w:color w:val="222222"/>
          <w:sz w:val="24"/>
          <w:szCs w:val="24"/>
          <w:shd w:val="clear" w:color="auto" w:fill="FFFFFF"/>
        </w:rPr>
        <w:t xml:space="preserve">, C., A. </w:t>
      </w:r>
      <w:proofErr w:type="spellStart"/>
      <w:r w:rsidRPr="00BE0690">
        <w:rPr>
          <w:rFonts w:ascii="Times New Roman" w:hAnsi="Times New Roman" w:cs="Times New Roman"/>
          <w:color w:val="222222"/>
          <w:sz w:val="24"/>
          <w:szCs w:val="24"/>
          <w:shd w:val="clear" w:color="auto" w:fill="FFFFFF"/>
        </w:rPr>
        <w:t>Stoeberl</w:t>
      </w:r>
      <w:proofErr w:type="spellEnd"/>
      <w:r w:rsidRPr="00BE0690">
        <w:rPr>
          <w:rFonts w:ascii="Times New Roman" w:hAnsi="Times New Roman" w:cs="Times New Roman"/>
          <w:color w:val="222222"/>
          <w:sz w:val="24"/>
          <w:szCs w:val="24"/>
          <w:shd w:val="clear" w:color="auto" w:fill="FFFFFF"/>
        </w:rPr>
        <w:t>, P., &amp; Marks, J. (2014). Building successful internships: lessons from the research for interns, schools, and employers. </w:t>
      </w:r>
      <w:r w:rsidRPr="00BE0690">
        <w:rPr>
          <w:rFonts w:ascii="Times New Roman" w:hAnsi="Times New Roman" w:cs="Times New Roman"/>
          <w:i/>
          <w:iCs/>
          <w:color w:val="222222"/>
          <w:sz w:val="24"/>
          <w:szCs w:val="24"/>
          <w:shd w:val="clear" w:color="auto" w:fill="FFFFFF"/>
        </w:rPr>
        <w:t>Career Development International</w:t>
      </w:r>
      <w:r w:rsidRPr="00BE0690">
        <w:rPr>
          <w:rFonts w:ascii="Times New Roman" w:hAnsi="Times New Roman" w:cs="Times New Roman"/>
          <w:color w:val="222222"/>
          <w:sz w:val="24"/>
          <w:szCs w:val="24"/>
          <w:shd w:val="clear" w:color="auto" w:fill="FFFFFF"/>
        </w:rPr>
        <w:t>, </w:t>
      </w:r>
      <w:r w:rsidRPr="00BE0690">
        <w:rPr>
          <w:rFonts w:ascii="Times New Roman" w:hAnsi="Times New Roman" w:cs="Times New Roman"/>
          <w:i/>
          <w:iCs/>
          <w:color w:val="222222"/>
          <w:sz w:val="24"/>
          <w:szCs w:val="24"/>
          <w:shd w:val="clear" w:color="auto" w:fill="FFFFFF"/>
        </w:rPr>
        <w:t>19</w:t>
      </w:r>
      <w:r w:rsidRPr="00BE0690">
        <w:rPr>
          <w:rFonts w:ascii="Times New Roman" w:hAnsi="Times New Roman" w:cs="Times New Roman"/>
          <w:color w:val="222222"/>
          <w:sz w:val="24"/>
          <w:szCs w:val="24"/>
          <w:shd w:val="clear" w:color="auto" w:fill="FFFFFF"/>
        </w:rPr>
        <w:t>(1), 123-142.</w:t>
      </w:r>
    </w:p>
    <w:p w:rsidR="00AB5FB6" w:rsidRPr="00BE0690" w:rsidRDefault="00AB5FB6" w:rsidP="00BE0690">
      <w:pPr>
        <w:spacing w:line="480" w:lineRule="auto"/>
        <w:rPr>
          <w:rFonts w:ascii="Times New Roman" w:hAnsi="Times New Roman" w:cs="Times New Roman"/>
          <w:sz w:val="24"/>
          <w:szCs w:val="24"/>
        </w:rPr>
      </w:pPr>
    </w:p>
    <w:p w:rsidR="00AB5FB6" w:rsidRPr="00BE0690" w:rsidRDefault="00AB5FB6" w:rsidP="00BE0690">
      <w:pPr>
        <w:spacing w:line="480" w:lineRule="auto"/>
        <w:ind w:firstLine="720"/>
        <w:rPr>
          <w:rFonts w:ascii="Times New Roman" w:hAnsi="Times New Roman" w:cs="Times New Roman"/>
          <w:sz w:val="24"/>
          <w:szCs w:val="24"/>
        </w:rPr>
      </w:pPr>
    </w:p>
    <w:p w:rsidR="0037690A" w:rsidRPr="00BE0690" w:rsidRDefault="0037690A" w:rsidP="00BE0690">
      <w:pPr>
        <w:spacing w:line="480" w:lineRule="auto"/>
        <w:rPr>
          <w:rFonts w:ascii="Times New Roman" w:hAnsi="Times New Roman" w:cs="Times New Roman"/>
          <w:sz w:val="24"/>
          <w:szCs w:val="24"/>
        </w:rPr>
      </w:pPr>
    </w:p>
    <w:sectPr w:rsidR="0037690A" w:rsidRPr="00BE0690" w:rsidSect="007F05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B18" w:rsidRDefault="00961B18" w:rsidP="00AB5FB6">
      <w:pPr>
        <w:spacing w:after="0" w:line="240" w:lineRule="auto"/>
      </w:pPr>
      <w:r>
        <w:separator/>
      </w:r>
    </w:p>
  </w:endnote>
  <w:endnote w:type="continuationSeparator" w:id="0">
    <w:p w:rsidR="00961B18" w:rsidRDefault="00961B18" w:rsidP="00AB5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B18" w:rsidRDefault="00961B18" w:rsidP="00AB5FB6">
      <w:pPr>
        <w:spacing w:after="0" w:line="240" w:lineRule="auto"/>
      </w:pPr>
      <w:r>
        <w:separator/>
      </w:r>
    </w:p>
  </w:footnote>
  <w:footnote w:type="continuationSeparator" w:id="0">
    <w:p w:rsidR="00961B18" w:rsidRDefault="00961B18" w:rsidP="00AB5F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AB5FB6">
    <w:pPr>
      <w:pStyle w:val="Header"/>
      <w:jc w:val="right"/>
    </w:pPr>
    <w:r w:rsidRPr="00AB5FB6">
      <w:rPr>
        <w:rFonts w:ascii="Times New Roman" w:hAnsi="Times New Roman" w:cs="Times New Roman"/>
        <w:sz w:val="24"/>
        <w:szCs w:val="24"/>
      </w:rPr>
      <w:t>WORK EXPERIENCE</w:t>
    </w:r>
    <w:r w:rsidR="00152218">
      <w:t xml:space="preserve"> </w:t>
    </w:r>
    <w:r w:rsidR="00152218">
      <w:tab/>
    </w:r>
    <w:r w:rsidR="00152218">
      <w:tab/>
    </w:r>
    <w:r w:rsidR="00152218" w:rsidRPr="007F05A5">
      <w:rPr>
        <w:rFonts w:ascii="Times New Roman" w:hAnsi="Times New Roman" w:cs="Times New Roman"/>
        <w:sz w:val="24"/>
        <w:szCs w:val="24"/>
      </w:rPr>
      <w:fldChar w:fldCharType="begin"/>
    </w:r>
    <w:r w:rsidR="00152218" w:rsidRPr="007F05A5">
      <w:rPr>
        <w:rFonts w:ascii="Times New Roman" w:hAnsi="Times New Roman" w:cs="Times New Roman"/>
        <w:sz w:val="24"/>
        <w:szCs w:val="24"/>
      </w:rPr>
      <w:instrText xml:space="preserve"> PAGE   \* MERGEFORMAT </w:instrText>
    </w:r>
    <w:r w:rsidR="00152218" w:rsidRPr="007F05A5">
      <w:rPr>
        <w:rFonts w:ascii="Times New Roman" w:hAnsi="Times New Roman" w:cs="Times New Roman"/>
        <w:sz w:val="24"/>
        <w:szCs w:val="24"/>
      </w:rPr>
      <w:fldChar w:fldCharType="separate"/>
    </w:r>
    <w:r w:rsidR="00D06313">
      <w:rPr>
        <w:rFonts w:ascii="Times New Roman" w:hAnsi="Times New Roman" w:cs="Times New Roman"/>
        <w:noProof/>
        <w:sz w:val="24"/>
        <w:szCs w:val="24"/>
      </w:rPr>
      <w:t>7</w:t>
    </w:r>
    <w:r w:rsidR="00152218" w:rsidRPr="007F05A5">
      <w:rPr>
        <w:rFonts w:ascii="Times New Roman" w:hAnsi="Times New Roman" w:cs="Times New Roman"/>
        <w:noProof/>
        <w:sz w:val="24"/>
        <w:szCs w:val="24"/>
      </w:rPr>
      <w:fldChar w:fldCharType="end"/>
    </w:r>
  </w:p>
  <w:p w:rsidR="007F05A5" w:rsidRDefault="00961B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152218">
    <w:pPr>
      <w:pStyle w:val="Header"/>
      <w:jc w:val="right"/>
    </w:pPr>
    <w:r>
      <w:rPr>
        <w:rFonts w:ascii="Times New Roman" w:hAnsi="Times New Roman" w:cs="Times New Roman"/>
        <w:sz w:val="24"/>
        <w:szCs w:val="24"/>
      </w:rPr>
      <w:t xml:space="preserve">Running head: </w:t>
    </w:r>
    <w:r w:rsidR="00AB5FB6" w:rsidRPr="00AB5FB6">
      <w:rPr>
        <w:rFonts w:ascii="Times New Roman" w:hAnsi="Times New Roman" w:cs="Times New Roman"/>
        <w:sz w:val="24"/>
        <w:szCs w:val="24"/>
      </w:rPr>
      <w:t>WORK EXPERIENCE</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D06313">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961B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FB6"/>
    <w:rsid w:val="000304B9"/>
    <w:rsid w:val="00065FA3"/>
    <w:rsid w:val="00095BA0"/>
    <w:rsid w:val="000B7D95"/>
    <w:rsid w:val="001436D9"/>
    <w:rsid w:val="00152218"/>
    <w:rsid w:val="002A18B0"/>
    <w:rsid w:val="0037690A"/>
    <w:rsid w:val="003A7CB3"/>
    <w:rsid w:val="00430CCF"/>
    <w:rsid w:val="0046205E"/>
    <w:rsid w:val="005A0C65"/>
    <w:rsid w:val="00660C35"/>
    <w:rsid w:val="008450D7"/>
    <w:rsid w:val="008B1868"/>
    <w:rsid w:val="0093439F"/>
    <w:rsid w:val="00961B18"/>
    <w:rsid w:val="009F43F0"/>
    <w:rsid w:val="00AB5FB6"/>
    <w:rsid w:val="00BE0690"/>
    <w:rsid w:val="00D06313"/>
    <w:rsid w:val="00DE39B1"/>
    <w:rsid w:val="00F32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6EBB99-7679-40D6-ABD9-8A87802D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FB6"/>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AB5FB6"/>
    <w:rPr>
      <w:rFonts w:ascii="Calibri" w:eastAsia="Calibri" w:hAnsi="Calibri" w:cs="Arial"/>
    </w:rPr>
  </w:style>
  <w:style w:type="paragraph" w:styleId="Footer">
    <w:name w:val="footer"/>
    <w:basedOn w:val="Normal"/>
    <w:link w:val="FooterChar"/>
    <w:uiPriority w:val="99"/>
    <w:unhideWhenUsed/>
    <w:rsid w:val="00AB5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79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2019-03-30T16:35:00Z</dcterms:created>
  <dcterms:modified xsi:type="dcterms:W3CDTF">2019-03-30T16:35:00Z</dcterms:modified>
</cp:coreProperties>
</file>